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淄博市综合百强企业汇总表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2"/>
        <w:tblpPr w:leftFromText="180" w:rightFromText="180" w:vertAnchor="text" w:horzAnchor="page" w:tblpX="1138" w:tblpY="184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45"/>
        <w:gridCol w:w="1110"/>
        <w:gridCol w:w="1110"/>
        <w:gridCol w:w="1110"/>
        <w:gridCol w:w="2"/>
        <w:gridCol w:w="1108"/>
        <w:gridCol w:w="1110"/>
        <w:gridCol w:w="1110"/>
        <w:gridCol w:w="4"/>
        <w:gridCol w:w="1106"/>
        <w:gridCol w:w="111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序号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企业名称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营业收入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纳税总额</w:t>
            </w:r>
          </w:p>
        </w:tc>
        <w:tc>
          <w:tcPr>
            <w:tcW w:w="33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2VjYTk4OTc4NTUzNTFlZDIzNjkzNWJkZGZhM2UifQ=="/>
  </w:docVars>
  <w:rsids>
    <w:rsidRoot w:val="6B790783"/>
    <w:rsid w:val="6B7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伸手不见五指的小李</dc:creator>
  <cp:lastModifiedBy>伸手不见五指的小李</cp:lastModifiedBy>
  <dcterms:modified xsi:type="dcterms:W3CDTF">2022-06-02T07:06:34Z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BD3ADDAD6AB6477A9CC74AC67DAA8323</vt:lpwstr>
  </property>
</Properties>
</file>